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FA" w:rsidRDefault="00A921BD" w:rsidP="004D42FA">
      <w:pPr>
        <w:tabs>
          <w:tab w:val="right" w:pos="5690"/>
        </w:tabs>
        <w:spacing w:after="0"/>
        <w:jc w:val="right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A921BD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-416560</wp:posOffset>
            </wp:positionV>
            <wp:extent cx="1685925" cy="685165"/>
            <wp:effectExtent l="0" t="0" r="9525" b="635"/>
            <wp:wrapSquare wrapText="bothSides"/>
            <wp:docPr id="2" name="0 Imagen" descr="logo_c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1BD" w:rsidRPr="00347FEA" w:rsidRDefault="003E72E6" w:rsidP="00B437A2">
      <w:pPr>
        <w:tabs>
          <w:tab w:val="right" w:pos="5690"/>
        </w:tabs>
        <w:spacing w:after="0"/>
        <w:rPr>
          <w:rFonts w:asciiTheme="majorHAnsi" w:hAnsiTheme="majorHAnsi"/>
          <w:b/>
          <w:color w:val="4F81BD" w:themeColor="accent1"/>
          <w:sz w:val="24"/>
          <w:szCs w:val="24"/>
        </w:rPr>
      </w:pPr>
      <w:r>
        <w:rPr>
          <w:i/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200024</wp:posOffset>
                </wp:positionV>
                <wp:extent cx="5909310" cy="0"/>
                <wp:effectExtent l="0" t="0" r="15240" b="1905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7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147pt;margin-top:15.75pt;width:465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" strokecolor="#365f91 [2404]" strokeweight="1.75pt"/>
            </w:pict>
          </mc:Fallback>
        </mc:AlternateContent>
      </w:r>
    </w:p>
    <w:p w:rsidR="00355CFB" w:rsidRDefault="00355CFB" w:rsidP="0031091D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</w:p>
    <w:p w:rsidR="0031091D" w:rsidRPr="00355CFB" w:rsidRDefault="0031091D" w:rsidP="0031091D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  <w:r w:rsidRPr="00355CFB">
        <w:rPr>
          <w:b/>
          <w:color w:val="4F81BD" w:themeColor="accent1"/>
          <w:sz w:val="32"/>
          <w:szCs w:val="32"/>
        </w:rPr>
        <w:t xml:space="preserve">Los notarios explican </w:t>
      </w:r>
      <w:r w:rsidR="0038626B" w:rsidRPr="00355CFB">
        <w:rPr>
          <w:b/>
          <w:color w:val="4F81BD" w:themeColor="accent1"/>
          <w:sz w:val="32"/>
          <w:szCs w:val="32"/>
        </w:rPr>
        <w:t xml:space="preserve">los </w:t>
      </w:r>
      <w:r w:rsidR="00E350A5" w:rsidRPr="00355CFB">
        <w:rPr>
          <w:b/>
          <w:color w:val="4F81BD" w:themeColor="accent1"/>
          <w:sz w:val="32"/>
          <w:szCs w:val="32"/>
        </w:rPr>
        <w:t>pasos a seguir en</w:t>
      </w:r>
      <w:r w:rsidR="0038626B" w:rsidRPr="00355CFB">
        <w:rPr>
          <w:b/>
          <w:color w:val="4F81BD" w:themeColor="accent1"/>
          <w:sz w:val="32"/>
          <w:szCs w:val="32"/>
        </w:rPr>
        <w:t xml:space="preserve"> la compraventa de </w:t>
      </w:r>
      <w:r w:rsidR="0065448E" w:rsidRPr="00355CFB">
        <w:rPr>
          <w:b/>
          <w:color w:val="4F81BD" w:themeColor="accent1"/>
          <w:sz w:val="32"/>
          <w:szCs w:val="32"/>
        </w:rPr>
        <w:t>una vivienda</w:t>
      </w:r>
      <w:r w:rsidR="00355CFB" w:rsidRPr="00355CFB">
        <w:rPr>
          <w:b/>
          <w:color w:val="4F81BD" w:themeColor="accent1"/>
          <w:sz w:val="32"/>
          <w:szCs w:val="32"/>
        </w:rPr>
        <w:t xml:space="preserve"> y en la solicitud de un préstamo hipotecario</w:t>
      </w:r>
    </w:p>
    <w:p w:rsidR="0031091D" w:rsidRPr="00347FEA" w:rsidRDefault="0031091D" w:rsidP="0031091D">
      <w:pPr>
        <w:rPr>
          <w:color w:val="4F81BD" w:themeColor="accent1"/>
          <w:sz w:val="16"/>
          <w:szCs w:val="16"/>
        </w:rPr>
      </w:pPr>
    </w:p>
    <w:p w:rsidR="00B968E3" w:rsidRDefault="001E4FB0" w:rsidP="00B968E3">
      <w:pPr>
        <w:pStyle w:val="Prrafodelista"/>
        <w:numPr>
          <w:ilvl w:val="0"/>
          <w:numId w:val="5"/>
        </w:numPr>
        <w:ind w:left="284" w:hanging="284"/>
        <w:jc w:val="both"/>
        <w:rPr>
          <w:i/>
          <w:sz w:val="21"/>
          <w:szCs w:val="21"/>
        </w:rPr>
      </w:pPr>
      <w:r w:rsidRPr="0037223A">
        <w:rPr>
          <w:i/>
          <w:sz w:val="21"/>
          <w:szCs w:val="21"/>
        </w:rPr>
        <w:t>El comprador tiene derecho a elegir el notario que desee para realizar la</w:t>
      </w:r>
      <w:r w:rsidR="007A28DD">
        <w:rPr>
          <w:i/>
          <w:sz w:val="21"/>
          <w:szCs w:val="21"/>
        </w:rPr>
        <w:t xml:space="preserve"> escrituras de la compraventa y del préstamo</w:t>
      </w:r>
    </w:p>
    <w:p w:rsidR="006F11B4" w:rsidRDefault="006F11B4" w:rsidP="006F11B4">
      <w:pPr>
        <w:pStyle w:val="Prrafodelista"/>
        <w:ind w:left="284"/>
        <w:jc w:val="both"/>
        <w:rPr>
          <w:i/>
          <w:sz w:val="21"/>
          <w:szCs w:val="21"/>
        </w:rPr>
      </w:pPr>
    </w:p>
    <w:p w:rsidR="00D657EA" w:rsidRPr="00D657EA" w:rsidRDefault="006F11B4" w:rsidP="00D657EA">
      <w:pPr>
        <w:pStyle w:val="Prrafodelista"/>
        <w:numPr>
          <w:ilvl w:val="0"/>
          <w:numId w:val="5"/>
        </w:numPr>
        <w:ind w:left="284" w:hanging="28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El comprador también tiene derecho a que la escritura del préstamo hipotecario esté en l</w:t>
      </w:r>
      <w:r w:rsidR="00A33E23">
        <w:rPr>
          <w:i/>
          <w:sz w:val="21"/>
          <w:szCs w:val="21"/>
        </w:rPr>
        <w:t xml:space="preserve">a notaría a su disposición </w:t>
      </w:r>
      <w:r w:rsidR="00500DE4">
        <w:rPr>
          <w:i/>
          <w:sz w:val="21"/>
          <w:szCs w:val="21"/>
        </w:rPr>
        <w:t>tres días antes de la firma</w:t>
      </w:r>
      <w:r>
        <w:rPr>
          <w:i/>
          <w:sz w:val="21"/>
          <w:szCs w:val="21"/>
        </w:rPr>
        <w:t xml:space="preserve"> para poder revisarla y consultar sus dudas al notario</w:t>
      </w:r>
      <w:bookmarkStart w:id="0" w:name="_GoBack"/>
      <w:bookmarkEnd w:id="0"/>
    </w:p>
    <w:p w:rsidR="00D657EA" w:rsidRPr="00D657EA" w:rsidRDefault="00D657EA" w:rsidP="00D657EA">
      <w:pPr>
        <w:pStyle w:val="Prrafodelista"/>
        <w:ind w:left="284"/>
        <w:jc w:val="both"/>
        <w:rPr>
          <w:i/>
          <w:sz w:val="21"/>
          <w:szCs w:val="21"/>
        </w:rPr>
      </w:pPr>
    </w:p>
    <w:p w:rsidR="00521BEA" w:rsidRDefault="00C66C2A" w:rsidP="0031091D">
      <w:pPr>
        <w:pStyle w:val="Prrafodelista"/>
        <w:ind w:left="0"/>
        <w:jc w:val="both"/>
        <w:rPr>
          <w:b/>
        </w:rPr>
      </w:pPr>
      <w:r>
        <w:rPr>
          <w:b/>
        </w:rPr>
        <w:t>No firmar ningún docu</w:t>
      </w:r>
      <w:r w:rsidR="009A53BA">
        <w:rPr>
          <w:b/>
        </w:rPr>
        <w:t>mento</w:t>
      </w:r>
      <w:r w:rsidR="0042642D">
        <w:rPr>
          <w:b/>
        </w:rPr>
        <w:t xml:space="preserve"> que no se entienda</w:t>
      </w:r>
      <w:r w:rsidR="003E5833">
        <w:rPr>
          <w:b/>
        </w:rPr>
        <w:t xml:space="preserve">, </w:t>
      </w:r>
      <w:r w:rsidR="009A53BA">
        <w:rPr>
          <w:b/>
        </w:rPr>
        <w:t>analiz</w:t>
      </w:r>
      <w:r w:rsidR="00944813">
        <w:rPr>
          <w:b/>
        </w:rPr>
        <w:t>ar las escritura</w:t>
      </w:r>
      <w:r w:rsidR="009A53BA">
        <w:rPr>
          <w:b/>
        </w:rPr>
        <w:t xml:space="preserve"> </w:t>
      </w:r>
      <w:r w:rsidR="00944813">
        <w:rPr>
          <w:b/>
        </w:rPr>
        <w:t>pública</w:t>
      </w:r>
      <w:r w:rsidR="00475EE1">
        <w:rPr>
          <w:b/>
        </w:rPr>
        <w:t xml:space="preserve"> </w:t>
      </w:r>
      <w:r w:rsidR="009A53BA">
        <w:rPr>
          <w:b/>
        </w:rPr>
        <w:t>tres días antes de su firma</w:t>
      </w:r>
      <w:r w:rsidR="00944813">
        <w:rPr>
          <w:b/>
        </w:rPr>
        <w:t xml:space="preserve">, </w:t>
      </w:r>
      <w:r w:rsidR="00870F9A">
        <w:rPr>
          <w:b/>
        </w:rPr>
        <w:t>tene</w:t>
      </w:r>
      <w:r w:rsidR="00944813">
        <w:rPr>
          <w:b/>
        </w:rPr>
        <w:t xml:space="preserve">r libertad para elegir notario y </w:t>
      </w:r>
      <w:r>
        <w:rPr>
          <w:b/>
        </w:rPr>
        <w:t xml:space="preserve">prestar atención </w:t>
      </w:r>
      <w:r w:rsidR="00944813">
        <w:rPr>
          <w:b/>
        </w:rPr>
        <w:t xml:space="preserve">a </w:t>
      </w:r>
      <w:r w:rsidR="00475EE1">
        <w:rPr>
          <w:b/>
        </w:rPr>
        <w:t xml:space="preserve">los </w:t>
      </w:r>
      <w:r w:rsidR="00870F9A">
        <w:rPr>
          <w:b/>
        </w:rPr>
        <w:t xml:space="preserve"> tipos de interés </w:t>
      </w:r>
      <w:r w:rsidR="007A28DD">
        <w:rPr>
          <w:b/>
        </w:rPr>
        <w:t>“</w:t>
      </w:r>
      <w:r w:rsidR="00870F9A">
        <w:rPr>
          <w:b/>
        </w:rPr>
        <w:t>suelo</w:t>
      </w:r>
      <w:r w:rsidR="007A28DD">
        <w:rPr>
          <w:b/>
        </w:rPr>
        <w:t>”</w:t>
      </w:r>
      <w:r w:rsidR="00475EE1">
        <w:rPr>
          <w:b/>
        </w:rPr>
        <w:t xml:space="preserve"> y </w:t>
      </w:r>
      <w:r w:rsidR="007A28DD">
        <w:rPr>
          <w:b/>
        </w:rPr>
        <w:t>“</w:t>
      </w:r>
      <w:r w:rsidR="00870F9A">
        <w:rPr>
          <w:b/>
        </w:rPr>
        <w:t>techo</w:t>
      </w:r>
      <w:r w:rsidR="007A28DD">
        <w:rPr>
          <w:b/>
        </w:rPr>
        <w:t>”</w:t>
      </w:r>
      <w:r w:rsidR="00475EE1">
        <w:rPr>
          <w:b/>
        </w:rPr>
        <w:t xml:space="preserve"> son </w:t>
      </w:r>
      <w:r w:rsidR="00D22B73">
        <w:rPr>
          <w:b/>
        </w:rPr>
        <w:t xml:space="preserve">algunos de los </w:t>
      </w:r>
      <w:r w:rsidR="00475EE1">
        <w:rPr>
          <w:b/>
        </w:rPr>
        <w:t xml:space="preserve">consejos </w:t>
      </w:r>
      <w:r w:rsidR="00D22B73">
        <w:rPr>
          <w:b/>
        </w:rPr>
        <w:t xml:space="preserve">que se </w:t>
      </w:r>
      <w:r w:rsidR="00475EE1">
        <w:rPr>
          <w:b/>
        </w:rPr>
        <w:t>recogen</w:t>
      </w:r>
      <w:r w:rsidR="00D22B73">
        <w:rPr>
          <w:b/>
        </w:rPr>
        <w:t xml:space="preserve"> en </w:t>
      </w:r>
      <w:r w:rsidR="0031091D">
        <w:rPr>
          <w:b/>
        </w:rPr>
        <w:t xml:space="preserve">los </w:t>
      </w:r>
      <w:r w:rsidR="00FF1187">
        <w:rPr>
          <w:b/>
        </w:rPr>
        <w:t xml:space="preserve">casi </w:t>
      </w:r>
      <w:r w:rsidR="0031091D" w:rsidRPr="00FF1187">
        <w:rPr>
          <w:b/>
        </w:rPr>
        <w:t xml:space="preserve">300.000 </w:t>
      </w:r>
      <w:r w:rsidR="00DD77BF" w:rsidRPr="00FF1187">
        <w:rPr>
          <w:b/>
        </w:rPr>
        <w:t>trípticos</w:t>
      </w:r>
      <w:r w:rsidR="0031091D" w:rsidRPr="00FF1187">
        <w:rPr>
          <w:b/>
        </w:rPr>
        <w:t xml:space="preserve"> </w:t>
      </w:r>
      <w:r w:rsidR="0031091D">
        <w:rPr>
          <w:b/>
        </w:rPr>
        <w:t xml:space="preserve">informativos </w:t>
      </w:r>
      <w:r w:rsidR="00521BEA">
        <w:rPr>
          <w:b/>
          <w:i/>
        </w:rPr>
        <w:t xml:space="preserve">¿Qué debo saber antes de adquirir una vivienda? El notario le asesora, </w:t>
      </w:r>
      <w:r w:rsidR="0031091D">
        <w:rPr>
          <w:b/>
        </w:rPr>
        <w:t>editados por el</w:t>
      </w:r>
      <w:r w:rsidR="001830EC">
        <w:rPr>
          <w:b/>
        </w:rPr>
        <w:t xml:space="preserve"> Consejo General del Notariado</w:t>
      </w:r>
      <w:r w:rsidR="002D5958">
        <w:rPr>
          <w:b/>
        </w:rPr>
        <w:t xml:space="preserve"> </w:t>
      </w:r>
      <w:r w:rsidR="00D657EA">
        <w:rPr>
          <w:b/>
        </w:rPr>
        <w:t>y</w:t>
      </w:r>
      <w:r w:rsidR="0033140B">
        <w:rPr>
          <w:b/>
        </w:rPr>
        <w:t xml:space="preserve"> disponibles </w:t>
      </w:r>
      <w:r w:rsidR="0031091D">
        <w:rPr>
          <w:b/>
        </w:rPr>
        <w:t xml:space="preserve">en las </w:t>
      </w:r>
      <w:r w:rsidR="00521BEA">
        <w:rPr>
          <w:b/>
        </w:rPr>
        <w:t>más de 2.8</w:t>
      </w:r>
      <w:r w:rsidR="000721DE">
        <w:rPr>
          <w:b/>
        </w:rPr>
        <w:t>00</w:t>
      </w:r>
      <w:r w:rsidR="00AB43D8">
        <w:rPr>
          <w:b/>
        </w:rPr>
        <w:t xml:space="preserve"> notarías españolas</w:t>
      </w:r>
      <w:r w:rsidR="00DB2B06">
        <w:rPr>
          <w:b/>
        </w:rPr>
        <w:t>.</w:t>
      </w:r>
      <w:r w:rsidR="00D951F1">
        <w:rPr>
          <w:b/>
        </w:rPr>
        <w:t xml:space="preserve"> </w:t>
      </w:r>
    </w:p>
    <w:p w:rsidR="0065448E" w:rsidRDefault="0065448E" w:rsidP="0031091D">
      <w:pPr>
        <w:pStyle w:val="Prrafodelista"/>
        <w:ind w:left="0"/>
        <w:jc w:val="both"/>
        <w:rPr>
          <w:b/>
        </w:rPr>
      </w:pPr>
    </w:p>
    <w:p w:rsidR="00870F9A" w:rsidRPr="00870F9A" w:rsidRDefault="007A28DD" w:rsidP="0031091D">
      <w:pPr>
        <w:pStyle w:val="Prrafodelista"/>
        <w:ind w:left="0"/>
        <w:jc w:val="both"/>
      </w:pPr>
      <w:r>
        <w:t>Ante lo que seguramente sea la inversión m</w:t>
      </w:r>
      <w:r w:rsidR="006F11B4">
        <w:t>ás importante de los ciudadanos,</w:t>
      </w:r>
      <w:r>
        <w:t xml:space="preserve"> </w:t>
      </w:r>
      <w:r w:rsidR="00870F9A" w:rsidRPr="00870F9A">
        <w:t>la compra de una vivienda</w:t>
      </w:r>
      <w:r>
        <w:t xml:space="preserve">, </w:t>
      </w:r>
      <w:r w:rsidR="00870F9A" w:rsidRPr="00870F9A">
        <w:t xml:space="preserve">el Notariado desgrana </w:t>
      </w:r>
      <w:r w:rsidR="00944813">
        <w:t xml:space="preserve">en un </w:t>
      </w:r>
      <w:r w:rsidR="00870F9A">
        <w:t xml:space="preserve">tríptico informativo </w:t>
      </w:r>
      <w:r w:rsidR="00944813">
        <w:t>el conjunto de pasos que</w:t>
      </w:r>
      <w:r w:rsidR="006F11B4">
        <w:t xml:space="preserve"> suelen darse </w:t>
      </w:r>
      <w:r>
        <w:t xml:space="preserve">para su </w:t>
      </w:r>
      <w:r w:rsidR="00E56882">
        <w:t>adquisición</w:t>
      </w:r>
      <w:r w:rsidR="009E6135">
        <w:t>:</w:t>
      </w:r>
      <w:r>
        <w:t xml:space="preserve"> desde la redacción del contrato privado a la </w:t>
      </w:r>
      <w:r w:rsidR="003A349C">
        <w:t>escritura pública</w:t>
      </w:r>
      <w:r w:rsidR="009E6135">
        <w:t>;</w:t>
      </w:r>
      <w:r w:rsidR="00A96EAC">
        <w:t xml:space="preserve"> </w:t>
      </w:r>
      <w:r w:rsidR="00944813">
        <w:t>el pago de impuestos</w:t>
      </w:r>
      <w:r w:rsidR="009E6135">
        <w:t>,</w:t>
      </w:r>
      <w:r w:rsidR="00944813">
        <w:t xml:space="preserve"> y la inscripción en el Registro de la Propiedad.</w:t>
      </w:r>
      <w:r w:rsidR="00347FEA">
        <w:t xml:space="preserve"> </w:t>
      </w:r>
      <w:r w:rsidR="00944813">
        <w:t xml:space="preserve">En el material editado se incluye </w:t>
      </w:r>
      <w:r w:rsidR="00347FEA">
        <w:t xml:space="preserve">también </w:t>
      </w:r>
      <w:r w:rsidR="00944813">
        <w:t>un apartado específico sobre los préstamos hipotecarios</w:t>
      </w:r>
      <w:r w:rsidR="0042642D">
        <w:t xml:space="preserve">, </w:t>
      </w:r>
      <w:r w:rsidR="00944813">
        <w:t xml:space="preserve">con especial detenimiento en </w:t>
      </w:r>
      <w:r w:rsidR="00347FEA">
        <w:t xml:space="preserve">los </w:t>
      </w:r>
      <w:r w:rsidR="009E6135">
        <w:t>intereses y</w:t>
      </w:r>
      <w:r w:rsidR="00A02CE1">
        <w:t xml:space="preserve"> </w:t>
      </w:r>
      <w:r w:rsidR="009E6135">
        <w:t>las cláusulas que limitan la variación del tipo de interés aplicable al préstamo.</w:t>
      </w:r>
    </w:p>
    <w:p w:rsidR="00870F9A" w:rsidRDefault="00870F9A" w:rsidP="0031091D">
      <w:pPr>
        <w:pStyle w:val="Prrafodelista"/>
        <w:ind w:left="0"/>
        <w:jc w:val="both"/>
        <w:rPr>
          <w:color w:val="FF0000"/>
        </w:rPr>
      </w:pPr>
    </w:p>
    <w:p w:rsidR="00A73EA9" w:rsidRDefault="003E5833" w:rsidP="0031091D">
      <w:pPr>
        <w:pStyle w:val="Prrafodelista"/>
        <w:ind w:left="0"/>
        <w:jc w:val="both"/>
      </w:pPr>
      <w:r>
        <w:t>E</w:t>
      </w:r>
      <w:r w:rsidR="00A73EA9" w:rsidRPr="003A0CA4">
        <w:t xml:space="preserve">s </w:t>
      </w:r>
      <w:r>
        <w:t xml:space="preserve">bastante </w:t>
      </w:r>
      <w:r w:rsidR="00A73EA9" w:rsidRPr="003A0CA4">
        <w:t>común que el vendedo</w:t>
      </w:r>
      <w:r w:rsidR="0042642D">
        <w:t xml:space="preserve">r y el comprador </w:t>
      </w:r>
      <w:r w:rsidR="00C40F30">
        <w:t xml:space="preserve">realicen un </w:t>
      </w:r>
      <w:r w:rsidR="00A73EA9" w:rsidRPr="003A0CA4">
        <w:t xml:space="preserve">contrato privado antes de la </w:t>
      </w:r>
      <w:r w:rsidR="00C40F30">
        <w:t xml:space="preserve"> hacer</w:t>
      </w:r>
      <w:r w:rsidR="00A73EA9" w:rsidRPr="003A0CA4">
        <w:t xml:space="preserve"> la escritura pública, </w:t>
      </w:r>
      <w:r>
        <w:t xml:space="preserve">aunque no es obligatorio ni inscribible en el Registro. En este caso, </w:t>
      </w:r>
      <w:r w:rsidR="00A73EA9" w:rsidRPr="003A0CA4">
        <w:t xml:space="preserve">el Consejo General del Notariado </w:t>
      </w:r>
      <w:r w:rsidR="00A02CE1">
        <w:t xml:space="preserve">aconseja que </w:t>
      </w:r>
      <w:r w:rsidR="00E56882" w:rsidRPr="003A0CA4">
        <w:t xml:space="preserve">no se firme nada </w:t>
      </w:r>
      <w:r w:rsidR="0042642D">
        <w:t>sin</w:t>
      </w:r>
      <w:r w:rsidR="00E56882" w:rsidRPr="003A0CA4">
        <w:t xml:space="preserve"> contar con un asesoramiento </w:t>
      </w:r>
      <w:r w:rsidR="009E6135">
        <w:t xml:space="preserve">jurídico </w:t>
      </w:r>
      <w:r w:rsidR="00E56882" w:rsidRPr="003A0CA4">
        <w:t>adecuado</w:t>
      </w:r>
      <w:r w:rsidR="00500DE4" w:rsidRPr="00500DE4">
        <w:t xml:space="preserve">. </w:t>
      </w:r>
      <w:r w:rsidR="00C40F30">
        <w:t xml:space="preserve">Si se firma un contrato privado </w:t>
      </w:r>
      <w:r w:rsidR="00A73EA9" w:rsidRPr="003A0CA4">
        <w:t xml:space="preserve">deben quedar </w:t>
      </w:r>
      <w:r w:rsidR="0042642D">
        <w:t>claramente re</w:t>
      </w:r>
      <w:r w:rsidR="00C40F30">
        <w:t>cogidos</w:t>
      </w:r>
      <w:r w:rsidR="0042642D">
        <w:t xml:space="preserve"> </w:t>
      </w:r>
      <w:r w:rsidR="00C40F30">
        <w:t xml:space="preserve">los </w:t>
      </w:r>
      <w:r w:rsidR="00A73EA9" w:rsidRPr="003A0CA4">
        <w:t>aspectos</w:t>
      </w:r>
      <w:r w:rsidR="00C40F30">
        <w:t xml:space="preserve"> básicos del acuerdo, como el precio</w:t>
      </w:r>
      <w:r w:rsidR="00BC02DF" w:rsidRPr="003A0CA4">
        <w:t xml:space="preserve">. </w:t>
      </w:r>
      <w:r w:rsidR="00A96EAC">
        <w:t>En este sentido, l</w:t>
      </w:r>
      <w:r w:rsidR="00BC02DF" w:rsidRPr="003A0CA4">
        <w:t xml:space="preserve">os notarios </w:t>
      </w:r>
      <w:r w:rsidR="00E56882" w:rsidRPr="003A0CA4">
        <w:t>advierten</w:t>
      </w:r>
      <w:r w:rsidR="00BC02DF" w:rsidRPr="003A0CA4">
        <w:t xml:space="preserve"> que no se debe admitir que se fije un precio inferior al real ni </w:t>
      </w:r>
      <w:r w:rsidR="00C40F30">
        <w:t xml:space="preserve">abonar </w:t>
      </w:r>
      <w:r w:rsidR="00BC02DF" w:rsidRPr="003A0CA4">
        <w:t xml:space="preserve">cantidades que no </w:t>
      </w:r>
      <w:r w:rsidR="00C40F30">
        <w:t xml:space="preserve">queden </w:t>
      </w:r>
      <w:r w:rsidR="00BC02DF" w:rsidRPr="003A0CA4">
        <w:t xml:space="preserve">documentadas. </w:t>
      </w:r>
    </w:p>
    <w:p w:rsidR="003E5833" w:rsidRPr="003A0CA4" w:rsidRDefault="003E5833" w:rsidP="0031091D">
      <w:pPr>
        <w:pStyle w:val="Prrafodelista"/>
        <w:ind w:left="0"/>
        <w:jc w:val="both"/>
      </w:pPr>
    </w:p>
    <w:p w:rsidR="007851B1" w:rsidRPr="003A0CA4" w:rsidRDefault="003C0A15" w:rsidP="007851B1">
      <w:pPr>
        <w:pStyle w:val="Prrafodelista"/>
        <w:ind w:left="0"/>
        <w:jc w:val="both"/>
        <w:rPr>
          <w:b/>
        </w:rPr>
      </w:pPr>
      <w:r w:rsidRPr="003A0CA4">
        <w:rPr>
          <w:b/>
        </w:rPr>
        <w:t xml:space="preserve">La </w:t>
      </w:r>
      <w:r w:rsidR="00AB43D8" w:rsidRPr="003A0CA4">
        <w:rPr>
          <w:b/>
        </w:rPr>
        <w:t>importancia de la escritura pública</w:t>
      </w:r>
    </w:p>
    <w:p w:rsidR="00836984" w:rsidRDefault="00836984" w:rsidP="000F2FD2">
      <w:pPr>
        <w:pStyle w:val="Prrafodelista"/>
        <w:ind w:left="0"/>
        <w:jc w:val="both"/>
      </w:pPr>
    </w:p>
    <w:p w:rsidR="000560E1" w:rsidRDefault="00B34066" w:rsidP="000F2FD2">
      <w:pPr>
        <w:pStyle w:val="Prrafodelista"/>
        <w:ind w:left="0"/>
        <w:jc w:val="both"/>
      </w:pPr>
      <w:r>
        <w:t>L</w:t>
      </w:r>
      <w:r w:rsidRPr="003A0CA4">
        <w:t xml:space="preserve">a mayoría de españoles opta por </w:t>
      </w:r>
      <w:r>
        <w:t xml:space="preserve">encargar a un notario la elaboración de una </w:t>
      </w:r>
      <w:r w:rsidRPr="003A0CA4">
        <w:t>escrit</w:t>
      </w:r>
      <w:r>
        <w:t>ura pública de compraventa</w:t>
      </w:r>
      <w:r w:rsidRPr="003A0CA4">
        <w:t xml:space="preserve"> </w:t>
      </w:r>
      <w:r>
        <w:t xml:space="preserve">ya </w:t>
      </w:r>
      <w:r w:rsidRPr="003A0CA4">
        <w:t xml:space="preserve">que, aunque no es obligatoria salvo que se contrate un préstamo hipotecario, aporta </w:t>
      </w:r>
      <w:r w:rsidRPr="003E1EF8">
        <w:rPr>
          <w:color w:val="000000" w:themeColor="text1"/>
        </w:rPr>
        <w:t>fehaciencia</w:t>
      </w:r>
      <w:r w:rsidR="003E1EF8">
        <w:t xml:space="preserve"> y</w:t>
      </w:r>
      <w:r w:rsidRPr="003E1EF8">
        <w:t xml:space="preserve"> </w:t>
      </w:r>
      <w:r w:rsidRPr="003A0CA4">
        <w:t>seguridad jurídica a comprador y vendedor</w:t>
      </w:r>
      <w:r>
        <w:t xml:space="preserve">. El notario ajusta la escritura a la legalidad vigente y además </w:t>
      </w:r>
      <w:r w:rsidRPr="00500DE4">
        <w:t xml:space="preserve">da fe de las declaraciones de las partes de modo que ninguna puede negar lo acordado; la escritura es </w:t>
      </w:r>
      <w:r w:rsidRPr="003A0CA4">
        <w:t xml:space="preserve">prueba ante los tribunales. </w:t>
      </w:r>
      <w:r>
        <w:t xml:space="preserve">Para </w:t>
      </w:r>
      <w:r w:rsidRPr="00500DE4">
        <w:t xml:space="preserve">su </w:t>
      </w:r>
      <w:r>
        <w:t>elaboración</w:t>
      </w:r>
      <w:r w:rsidRPr="003A0CA4">
        <w:t xml:space="preserve">, el notario comprueba la identidad, capacidad y legitimación de vendedor, </w:t>
      </w:r>
      <w:r>
        <w:t>y comprador</w:t>
      </w:r>
      <w:r w:rsidRPr="00500DE4">
        <w:t>;</w:t>
      </w:r>
      <w:r>
        <w:t xml:space="preserve"> </w:t>
      </w:r>
      <w:r w:rsidRPr="00500DE4">
        <w:t>examina la suficiencia de los poderes aportados</w:t>
      </w:r>
      <w:r>
        <w:t>;</w:t>
      </w:r>
      <w:r w:rsidRPr="003A0CA4">
        <w:t xml:space="preserve"> </w:t>
      </w:r>
      <w:r w:rsidRPr="00500DE4">
        <w:t xml:space="preserve">verifica la descripción de la finca y las posibles discrepancias o coincidencias con la parcela catastral; consulta y analiza el estado de cargas de la vivienda y del pago de las cuotas a la comunidad; solicita el informe municipal </w:t>
      </w:r>
      <w:r w:rsidRPr="00500DE4">
        <w:lastRenderedPageBreak/>
        <w:t xml:space="preserve">sobre el pago del Impuesto sobre Bienes Inmuebles; exige el certificado de eficiencia  energético; comunica telemáticamente </w:t>
      </w:r>
      <w:r w:rsidR="00947C36" w:rsidRPr="00500DE4">
        <w:t>al C</w:t>
      </w:r>
      <w:r w:rsidRPr="00500DE4">
        <w:t xml:space="preserve">atastro el cambio de titularidad catastral; presenta telemáticamente </w:t>
      </w:r>
      <w:r w:rsidR="00947C36" w:rsidRPr="00500DE4">
        <w:t xml:space="preserve">copia de </w:t>
      </w:r>
      <w:r w:rsidRPr="00500DE4">
        <w:t xml:space="preserve">la </w:t>
      </w:r>
      <w:r w:rsidR="00947C36" w:rsidRPr="00500DE4">
        <w:t>escritura en el Registro de la P</w:t>
      </w:r>
      <w:r w:rsidRPr="00500DE4">
        <w:t>ropiedad el mismo día de la firma</w:t>
      </w:r>
      <w:r w:rsidR="00A02CE1">
        <w:t>;</w:t>
      </w:r>
      <w:r w:rsidR="0079230D" w:rsidRPr="003A0CA4">
        <w:t xml:space="preserve"> </w:t>
      </w:r>
      <w:r w:rsidR="00D01DFA" w:rsidRPr="003A0CA4">
        <w:t xml:space="preserve">notifica a las partes sus </w:t>
      </w:r>
      <w:r w:rsidR="00A02CE1">
        <w:t>obligaciones legales y fiscales;</w:t>
      </w:r>
      <w:r w:rsidR="00D01DFA" w:rsidRPr="003A0CA4">
        <w:t xml:space="preserve"> explica el reparto de gastos de la operación, y gestiona, si las partes se lo piden, el pago de los diferentes gastos que conlleva la operación de compraventa. Una vez firmada la escritura </w:t>
      </w:r>
      <w:r w:rsidR="0033424A">
        <w:t xml:space="preserve">pública </w:t>
      </w:r>
      <w:r w:rsidR="00D01DFA" w:rsidRPr="003A0CA4">
        <w:t>se debe proceder al pago de impuestos e inscripción en</w:t>
      </w:r>
      <w:r w:rsidR="0033424A">
        <w:t xml:space="preserve"> el Registro de la Propiedad y a</w:t>
      </w:r>
      <w:r w:rsidR="00D01DFA" w:rsidRPr="003A0CA4">
        <w:t xml:space="preserve">l cambio de titularidad en los suministros. </w:t>
      </w:r>
      <w:r w:rsidR="00D468BD" w:rsidRPr="003A0CA4">
        <w:t xml:space="preserve"> </w:t>
      </w:r>
    </w:p>
    <w:tbl>
      <w:tblPr>
        <w:tblStyle w:val="Sombreadoclaro-nfasis1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127"/>
        <w:gridCol w:w="2517"/>
      </w:tblGrid>
      <w:tr w:rsidR="00500DE4" w:rsidRPr="003A0CA4" w:rsidTr="0050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00DE4" w:rsidRPr="00A96EAC" w:rsidRDefault="00500DE4" w:rsidP="00500DE4">
            <w:pPr>
              <w:pStyle w:val="Prrafodelista"/>
              <w:ind w:left="0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A96EAC">
              <w:rPr>
                <w:color w:val="FFFFFF" w:themeColor="background1"/>
                <w:sz w:val="20"/>
                <w:szCs w:val="20"/>
              </w:rPr>
              <w:t>Gastos Compraventa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00DE4" w:rsidRPr="00A96EAC" w:rsidRDefault="00500DE4" w:rsidP="00500DE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A96EAC">
              <w:rPr>
                <w:color w:val="FFFFFF" w:themeColor="background1"/>
                <w:sz w:val="20"/>
                <w:szCs w:val="20"/>
              </w:rPr>
              <w:t>Impuestos Compraventa</w:t>
            </w:r>
          </w:p>
        </w:tc>
      </w:tr>
      <w:tr w:rsidR="00500DE4" w:rsidRPr="003A0CA4" w:rsidTr="0050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A0CA4">
              <w:rPr>
                <w:i/>
                <w:sz w:val="20"/>
                <w:szCs w:val="20"/>
              </w:rPr>
              <w:t>A cuenta vendedor</w:t>
            </w:r>
          </w:p>
        </w:tc>
      </w:tr>
      <w:tr w:rsidR="00500DE4" w:rsidRPr="003A0CA4" w:rsidTr="0050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A0CA4">
              <w:rPr>
                <w:sz w:val="20"/>
                <w:szCs w:val="20"/>
              </w:rPr>
              <w:t>Minuta notarial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500DE4" w:rsidRDefault="00500DE4" w:rsidP="00500DE4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96EAC">
              <w:rPr>
                <w:b/>
                <w:sz w:val="20"/>
                <w:szCs w:val="20"/>
              </w:rPr>
              <w:t>Plusvalía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0DE4">
              <w:rPr>
                <w:b/>
                <w:sz w:val="20"/>
                <w:szCs w:val="20"/>
              </w:rPr>
              <w:t>municipal</w:t>
            </w:r>
          </w:p>
          <w:p w:rsidR="00500DE4" w:rsidRPr="003E1EF8" w:rsidRDefault="00500DE4" w:rsidP="00500DE4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500DE4">
              <w:rPr>
                <w:b/>
                <w:sz w:val="20"/>
                <w:szCs w:val="20"/>
              </w:rPr>
              <w:t>Incremento de patrimonio en IRPF</w:t>
            </w:r>
          </w:p>
        </w:tc>
      </w:tr>
      <w:tr w:rsidR="00500DE4" w:rsidRPr="003A0CA4" w:rsidTr="0050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A0CA4">
              <w:rPr>
                <w:sz w:val="20"/>
                <w:szCs w:val="20"/>
              </w:rPr>
              <w:t>Minuta registral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3A0CA4">
              <w:rPr>
                <w:i/>
                <w:sz w:val="20"/>
                <w:szCs w:val="20"/>
              </w:rPr>
              <w:t>A cuenta comprador</w:t>
            </w:r>
          </w:p>
        </w:tc>
      </w:tr>
      <w:tr w:rsidR="00500DE4" w:rsidRPr="003A0CA4" w:rsidTr="0050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A0CA4">
              <w:rPr>
                <w:sz w:val="20"/>
                <w:szCs w:val="20"/>
              </w:rPr>
              <w:t>Minuta gestoría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A96EAC" w:rsidRDefault="00500DE4" w:rsidP="00500DE4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96EAC">
              <w:rPr>
                <w:b/>
                <w:sz w:val="20"/>
                <w:szCs w:val="20"/>
              </w:rPr>
              <w:t xml:space="preserve">IVA </w:t>
            </w:r>
          </w:p>
        </w:tc>
      </w:tr>
      <w:tr w:rsidR="00500DE4" w:rsidRPr="003A0CA4" w:rsidTr="0050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EAC">
              <w:rPr>
                <w:b/>
                <w:sz w:val="20"/>
                <w:szCs w:val="20"/>
              </w:rPr>
              <w:t>AJD</w:t>
            </w:r>
            <w:r w:rsidRPr="003A0CA4">
              <w:rPr>
                <w:sz w:val="20"/>
                <w:szCs w:val="20"/>
              </w:rPr>
              <w:t xml:space="preserve"> (Actos Jurídicos Documentados)</w:t>
            </w:r>
          </w:p>
        </w:tc>
      </w:tr>
      <w:tr w:rsidR="00500DE4" w:rsidRPr="003A0CA4" w:rsidTr="0050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6EAC">
              <w:rPr>
                <w:b/>
                <w:sz w:val="20"/>
                <w:szCs w:val="20"/>
              </w:rPr>
              <w:t>TPO</w:t>
            </w:r>
            <w:r w:rsidRPr="003A0CA4">
              <w:rPr>
                <w:sz w:val="20"/>
                <w:szCs w:val="20"/>
              </w:rPr>
              <w:t xml:space="preserve"> (Imp. </w:t>
            </w:r>
            <w:r w:rsidRPr="000172C0">
              <w:rPr>
                <w:sz w:val="20"/>
                <w:szCs w:val="20"/>
              </w:rPr>
              <w:t xml:space="preserve">Transmisiones </w:t>
            </w:r>
            <w:r w:rsidRPr="003A0CA4">
              <w:rPr>
                <w:sz w:val="20"/>
                <w:szCs w:val="20"/>
              </w:rPr>
              <w:t xml:space="preserve"> </w:t>
            </w:r>
            <w:r w:rsidRPr="000172C0">
              <w:rPr>
                <w:sz w:val="20"/>
                <w:szCs w:val="20"/>
              </w:rPr>
              <w:t>Patrimon. ) Viv</w:t>
            </w:r>
            <w:r w:rsidR="000172C0" w:rsidRPr="000172C0">
              <w:rPr>
                <w:sz w:val="20"/>
                <w:szCs w:val="20"/>
              </w:rPr>
              <w:t>i</w:t>
            </w:r>
            <w:r w:rsidRPr="000172C0">
              <w:rPr>
                <w:sz w:val="20"/>
                <w:szCs w:val="20"/>
              </w:rPr>
              <w:t>enda antigua</w:t>
            </w:r>
          </w:p>
        </w:tc>
      </w:tr>
      <w:tr w:rsidR="00500DE4" w:rsidRPr="003A0CA4" w:rsidTr="0050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500DE4" w:rsidRPr="003A0CA4" w:rsidRDefault="00500DE4" w:rsidP="00500DE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500DE4" w:rsidRPr="00A96EAC" w:rsidRDefault="00500DE4" w:rsidP="00500DE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96EAC">
              <w:rPr>
                <w:b/>
                <w:sz w:val="20"/>
                <w:szCs w:val="20"/>
              </w:rPr>
              <w:t>IRPF</w:t>
            </w:r>
          </w:p>
        </w:tc>
      </w:tr>
    </w:tbl>
    <w:p w:rsidR="00D468BD" w:rsidRPr="000560E1" w:rsidRDefault="00D468BD" w:rsidP="000F2FD2">
      <w:pPr>
        <w:pStyle w:val="Prrafodelista"/>
        <w:ind w:left="0"/>
        <w:jc w:val="both"/>
        <w:rPr>
          <w:color w:val="FF0000"/>
        </w:rPr>
      </w:pPr>
    </w:p>
    <w:p w:rsidR="00D01DFA" w:rsidRPr="003A0CA4" w:rsidRDefault="00935576" w:rsidP="000F2FD2">
      <w:pPr>
        <w:pStyle w:val="Prrafodelista"/>
        <w:ind w:left="0"/>
        <w:jc w:val="both"/>
      </w:pPr>
      <w:r>
        <w:t>En</w:t>
      </w:r>
      <w:r w:rsidR="00EC4AFC" w:rsidRPr="003A0CA4">
        <w:t xml:space="preserve"> el folleto se </w:t>
      </w:r>
      <w:r w:rsidR="00A96EAC">
        <w:t xml:space="preserve">desglosan </w:t>
      </w:r>
      <w:r w:rsidR="00EC4AFC" w:rsidRPr="003A0CA4">
        <w:t xml:space="preserve">los gastos </w:t>
      </w:r>
      <w:r>
        <w:t xml:space="preserve">en los que se incurren por la operación, </w:t>
      </w:r>
      <w:r w:rsidR="00EC4AFC" w:rsidRPr="003A0CA4">
        <w:t xml:space="preserve">desde las facturas de los distintos profesionales que </w:t>
      </w:r>
      <w:r>
        <w:t xml:space="preserve">puedan intervenir en el proceso, </w:t>
      </w:r>
      <w:r w:rsidR="00EC4AFC" w:rsidRPr="003A0CA4">
        <w:t xml:space="preserve"> a los distintos impuestos. En este sentido, l</w:t>
      </w:r>
      <w:r w:rsidR="00D01DFA" w:rsidRPr="003A0CA4">
        <w:t xml:space="preserve">os notarios aconsejan </w:t>
      </w:r>
      <w:r>
        <w:t>no aceptar</w:t>
      </w:r>
      <w:r w:rsidR="00D01DFA" w:rsidRPr="003A0CA4">
        <w:t xml:space="preserve"> recibos gl</w:t>
      </w:r>
      <w:r w:rsidR="00D468BD" w:rsidRPr="003A0CA4">
        <w:t xml:space="preserve">obales, </w:t>
      </w:r>
      <w:r>
        <w:t xml:space="preserve">sino </w:t>
      </w:r>
      <w:r w:rsidR="00D468BD" w:rsidRPr="003A0CA4">
        <w:t>que se reclamen las fac</w:t>
      </w:r>
      <w:r w:rsidR="00D01DFA" w:rsidRPr="003A0CA4">
        <w:t>t</w:t>
      </w:r>
      <w:r w:rsidR="00D468BD" w:rsidRPr="003A0CA4">
        <w:t>u</w:t>
      </w:r>
      <w:r w:rsidR="00D01DFA" w:rsidRPr="003A0CA4">
        <w:t xml:space="preserve">ras originales del notario, del gestor y del registro de la propiedad, además de la carta de pago de impuestos. </w:t>
      </w:r>
    </w:p>
    <w:p w:rsidR="00D01DFA" w:rsidRPr="003A0CA4" w:rsidRDefault="00D01DFA" w:rsidP="000F2FD2">
      <w:pPr>
        <w:pStyle w:val="Prrafodelista"/>
        <w:ind w:left="0"/>
        <w:jc w:val="both"/>
        <w:rPr>
          <w:b/>
        </w:rPr>
      </w:pPr>
    </w:p>
    <w:p w:rsidR="005403CF" w:rsidRPr="00FC323E" w:rsidRDefault="005403CF" w:rsidP="000F2FD2">
      <w:pPr>
        <w:pStyle w:val="Prrafodelista"/>
        <w:ind w:left="0"/>
        <w:jc w:val="both"/>
        <w:rPr>
          <w:b/>
        </w:rPr>
      </w:pPr>
      <w:r w:rsidRPr="00FC323E">
        <w:rPr>
          <w:b/>
        </w:rPr>
        <w:t>El préstamo hipotecario</w:t>
      </w:r>
      <w:r w:rsidR="001F39AF" w:rsidRPr="00FC323E">
        <w:rPr>
          <w:b/>
        </w:rPr>
        <w:t>, en detalle</w:t>
      </w:r>
    </w:p>
    <w:p w:rsidR="00995B05" w:rsidRPr="00FC323E" w:rsidRDefault="00995B05" w:rsidP="000F2FD2">
      <w:pPr>
        <w:pStyle w:val="Prrafodelista"/>
        <w:ind w:left="0"/>
        <w:jc w:val="both"/>
        <w:rPr>
          <w:b/>
        </w:rPr>
      </w:pPr>
    </w:p>
    <w:p w:rsidR="00857472" w:rsidRPr="00FC323E" w:rsidRDefault="005403CF" w:rsidP="000F2FD2">
      <w:pPr>
        <w:pStyle w:val="Prrafodelista"/>
        <w:ind w:left="0"/>
        <w:jc w:val="both"/>
      </w:pPr>
      <w:r w:rsidRPr="00FC323E">
        <w:t xml:space="preserve">El folleto hace un recorrido cronológico por el préstamo hipotecario desde que el solicitante </w:t>
      </w:r>
      <w:r w:rsidR="00FC323E" w:rsidRPr="00FC323E">
        <w:t xml:space="preserve">analiza la </w:t>
      </w:r>
      <w:r w:rsidRPr="00FC323E">
        <w:t xml:space="preserve">cantidad </w:t>
      </w:r>
      <w:r w:rsidR="00FC323E" w:rsidRPr="00FC323E">
        <w:t xml:space="preserve">a </w:t>
      </w:r>
      <w:r w:rsidRPr="00FC323E">
        <w:t>pedir</w:t>
      </w:r>
      <w:r w:rsidR="00FC323E" w:rsidRPr="00FC323E">
        <w:t xml:space="preserve"> hasta que el préstamo se ha terminado de pagar </w:t>
      </w:r>
      <w:r w:rsidR="00916D8B">
        <w:t>y debe formalizarse la escritura pública de cancelación de la hipoteca</w:t>
      </w:r>
      <w:r w:rsidR="00FC323E" w:rsidRPr="00FC323E">
        <w:t xml:space="preserve">. </w:t>
      </w:r>
      <w:r w:rsidRPr="00FC323E">
        <w:t>Un trayecto en el que se incide</w:t>
      </w:r>
      <w:r w:rsidR="00FF1187" w:rsidRPr="00FC323E">
        <w:t xml:space="preserve"> </w:t>
      </w:r>
      <w:r w:rsidRPr="00FC323E">
        <w:t>en la importancia de comparar ofertas</w:t>
      </w:r>
      <w:r w:rsidR="00231835" w:rsidRPr="00FC323E">
        <w:t xml:space="preserve"> de diferentes entidades bancarias</w:t>
      </w:r>
      <w:r w:rsidR="00B57025">
        <w:t>, y</w:t>
      </w:r>
      <w:r w:rsidR="00916D8B">
        <w:t xml:space="preserve"> de</w:t>
      </w:r>
      <w:r w:rsidR="00FF1187" w:rsidRPr="00FC323E">
        <w:t xml:space="preserve"> solicitar a la entidad financiera </w:t>
      </w:r>
      <w:r w:rsidR="00857472" w:rsidRPr="00FC323E">
        <w:t>una Ficha</w:t>
      </w:r>
      <w:r w:rsidR="00916D8B">
        <w:t xml:space="preserve"> de Información Personalizada, además de</w:t>
      </w:r>
      <w:r w:rsidR="00857472" w:rsidRPr="00FC323E">
        <w:t xml:space="preserve"> una oferta vinculante en la que se recojan las condiciones financieras del contrato.</w:t>
      </w:r>
      <w:r w:rsidR="00FC323E" w:rsidRPr="00FC323E">
        <w:t xml:space="preserve"> En el tríptico informativo se recomienda al comprador que las cuotas mensuales no superen el 35% de los ingresos de los solicitantes del préstamo porque los ingresos pueden cambiar con los años y las cuotas de los préstamos variables pueden subir. </w:t>
      </w:r>
    </w:p>
    <w:p w:rsidR="000172C0" w:rsidRPr="00D657EA" w:rsidRDefault="00916D8B" w:rsidP="00340859">
      <w:pPr>
        <w:jc w:val="both"/>
        <w:rPr>
          <w:strike/>
          <w:color w:val="FF0000"/>
        </w:rPr>
      </w:pPr>
      <w:r w:rsidRPr="005D7166">
        <w:t>El</w:t>
      </w:r>
      <w:r w:rsidR="00231835" w:rsidRPr="005D7166">
        <w:t xml:space="preserve"> documento </w:t>
      </w:r>
      <w:r w:rsidR="005D7166">
        <w:t>se refiere también a los dos tipos de intereses</w:t>
      </w:r>
      <w:r w:rsidR="00493E4B">
        <w:t xml:space="preserve">, </w:t>
      </w:r>
      <w:r w:rsidR="005D7166" w:rsidRPr="005D7166">
        <w:t xml:space="preserve"> </w:t>
      </w:r>
      <w:r w:rsidR="00493E4B">
        <w:t xml:space="preserve">el fijo y el variable. </w:t>
      </w:r>
      <w:r w:rsidR="00A96EAC">
        <w:t>A</w:t>
      </w:r>
      <w:r w:rsidR="00935576">
        <w:t xml:space="preserve"> los fijos</w:t>
      </w:r>
      <w:r w:rsidR="00A96EAC">
        <w:t xml:space="preserve"> no les afecta</w:t>
      </w:r>
      <w:r w:rsidRPr="005D7166">
        <w:t>n las subidas o bajadas de los tipos de referencia d</w:t>
      </w:r>
      <w:r w:rsidR="005D7166" w:rsidRPr="005D7166">
        <w:t>u</w:t>
      </w:r>
      <w:r w:rsidR="00493E4B">
        <w:t>rante la vigencia del préstamo</w:t>
      </w:r>
      <w:r w:rsidR="00935576">
        <w:t xml:space="preserve">, </w:t>
      </w:r>
      <w:r w:rsidR="00493E4B">
        <w:t xml:space="preserve"> y los</w:t>
      </w:r>
      <w:r w:rsidR="005D7166" w:rsidRPr="005D7166">
        <w:t xml:space="preserve"> va</w:t>
      </w:r>
      <w:r w:rsidR="00CD4BE9">
        <w:t>riables, por los que se decanta</w:t>
      </w:r>
      <w:r w:rsidR="005D7166" w:rsidRPr="005D7166">
        <w:t xml:space="preserve"> la mayoría de los españoles, </w:t>
      </w:r>
      <w:r w:rsidR="00935576">
        <w:t xml:space="preserve">están </w:t>
      </w:r>
      <w:r w:rsidR="005D7166" w:rsidRPr="005D7166">
        <w:t xml:space="preserve">referenciados a un índice, generalmente el </w:t>
      </w:r>
      <w:r w:rsidR="00500DE4" w:rsidRPr="005D7166">
        <w:t>Euribor</w:t>
      </w:r>
      <w:r w:rsidR="005D7166" w:rsidRPr="005D7166">
        <w:t>, al que se añade un diferencial</w:t>
      </w:r>
      <w:r w:rsidR="003E1EF8">
        <w:t>.</w:t>
      </w:r>
    </w:p>
    <w:p w:rsidR="005D7166" w:rsidRPr="0039110E" w:rsidRDefault="00FB411F" w:rsidP="00340859">
      <w:pPr>
        <w:jc w:val="both"/>
      </w:pPr>
      <w:r w:rsidRPr="00FB411F">
        <w:rPr>
          <w:b/>
        </w:rPr>
        <w:t>Cláu</w:t>
      </w:r>
      <w:r w:rsidR="005D7166" w:rsidRPr="00FB411F">
        <w:rPr>
          <w:b/>
        </w:rPr>
        <w:t>sulas</w:t>
      </w:r>
      <w:r w:rsidRPr="00FB411F">
        <w:rPr>
          <w:b/>
        </w:rPr>
        <w:t xml:space="preserve"> </w:t>
      </w:r>
      <w:r w:rsidR="003135D4">
        <w:rPr>
          <w:b/>
        </w:rPr>
        <w:t>“</w:t>
      </w:r>
      <w:r w:rsidRPr="00FB411F">
        <w:rPr>
          <w:b/>
        </w:rPr>
        <w:t>techo y suelo</w:t>
      </w:r>
      <w:r w:rsidR="003135D4">
        <w:rPr>
          <w:b/>
        </w:rPr>
        <w:t>”</w:t>
      </w:r>
    </w:p>
    <w:p w:rsidR="00872540" w:rsidRDefault="00AC072B" w:rsidP="00340859">
      <w:pPr>
        <w:jc w:val="both"/>
      </w:pPr>
      <w:r>
        <w:t xml:space="preserve">El Consejo General del Notariado se detiene especialmente en </w:t>
      </w:r>
      <w:r w:rsidR="00493E4B">
        <w:t>las cláusulas que algunas entidades incluyen en sus contratos</w:t>
      </w:r>
      <w:r>
        <w:t>, cláusulas</w:t>
      </w:r>
      <w:r w:rsidR="00FB411F">
        <w:t xml:space="preserve"> que limitan la variación del tipo de intereses aplicables al préstamo </w:t>
      </w:r>
      <w:r>
        <w:t xml:space="preserve">y  </w:t>
      </w:r>
      <w:r w:rsidR="00FB411F">
        <w:t xml:space="preserve">en las </w:t>
      </w:r>
      <w:r>
        <w:t>que se puede señalar un máximo (</w:t>
      </w:r>
      <w:r w:rsidR="00FB411F">
        <w:t>techo</w:t>
      </w:r>
      <w:r>
        <w:t>)</w:t>
      </w:r>
      <w:r w:rsidR="00FB411F">
        <w:t>, y un mínim</w:t>
      </w:r>
      <w:r>
        <w:t>o (</w:t>
      </w:r>
      <w:r w:rsidR="00FB411F">
        <w:t>suelo</w:t>
      </w:r>
      <w:r>
        <w:t>). Desde el colectivo de notarios se subraya que e</w:t>
      </w:r>
      <w:r w:rsidR="00872540">
        <w:t>n</w:t>
      </w:r>
      <w:r w:rsidR="00FB411F">
        <w:t xml:space="preserve"> el llamado suelo h</w:t>
      </w:r>
      <w:r w:rsidR="003135D4">
        <w:t xml:space="preserve">ay que poner especial atención </w:t>
      </w:r>
      <w:r w:rsidR="00FB411F">
        <w:t xml:space="preserve">porque cuando se alcanza, las bajadas del tipo de interés de referencia no se traducen en una disminución de las cuotas. </w:t>
      </w:r>
    </w:p>
    <w:p w:rsidR="00355CFB" w:rsidRDefault="00872540" w:rsidP="00340859">
      <w:pPr>
        <w:jc w:val="both"/>
      </w:pPr>
      <w:r w:rsidRPr="001E4FB0">
        <w:rPr>
          <w:i/>
        </w:rPr>
        <w:t>“</w:t>
      </w:r>
      <w:r w:rsidR="00836984">
        <w:t xml:space="preserve">En </w:t>
      </w:r>
      <w:r w:rsidRPr="00836984">
        <w:t xml:space="preserve">la firma del préstamo hipotecario los notarios verificarán si se han establecido límites a la variación del tipo de interés, lo harán constar en la escritura y se lo explicarán a los solicitantes </w:t>
      </w:r>
      <w:r w:rsidRPr="00836984">
        <w:lastRenderedPageBreak/>
        <w:t>del préstamo</w:t>
      </w:r>
      <w:r w:rsidRPr="001E4FB0">
        <w:rPr>
          <w:i/>
        </w:rPr>
        <w:t>”,</w:t>
      </w:r>
      <w:r>
        <w:t xml:space="preserve"> afirma </w:t>
      </w:r>
      <w:r w:rsidRPr="001E4FB0">
        <w:rPr>
          <w:b/>
        </w:rPr>
        <w:t>José Manuel García Collantes</w:t>
      </w:r>
      <w:r>
        <w:t>, presidente de</w:t>
      </w:r>
      <w:r w:rsidR="00F32CEC">
        <w:t>l Co</w:t>
      </w:r>
      <w:r w:rsidR="003135D4">
        <w:t>nsejo General del Notariado. Asi</w:t>
      </w:r>
      <w:r w:rsidR="00F32CEC">
        <w:t xml:space="preserve">mismo, </w:t>
      </w:r>
      <w:r w:rsidR="003135D4">
        <w:t xml:space="preserve">el vicepresidente </w:t>
      </w:r>
      <w:r w:rsidR="00F32CEC" w:rsidRPr="00F32CEC">
        <w:rPr>
          <w:b/>
        </w:rPr>
        <w:t>Joan Carles Ollé</w:t>
      </w:r>
      <w:r w:rsidR="003135D4">
        <w:t xml:space="preserve"> señala que los notarios deberán informar </w:t>
      </w:r>
      <w:r>
        <w:t xml:space="preserve">de cualquier </w:t>
      </w:r>
      <w:r w:rsidR="00836984">
        <w:t>aumento</w:t>
      </w:r>
      <w:r w:rsidR="003E1EF8">
        <w:t xml:space="preserve"> </w:t>
      </w:r>
      <w:r w:rsidR="00836984">
        <w:t xml:space="preserve"> </w:t>
      </w:r>
      <w:r w:rsidR="003E1EF8">
        <w:t>r</w:t>
      </w:r>
      <w:r>
        <w:t>elevante que pudiera producirse en las cuotas y comprobarán que las cláusulas no f</w:t>
      </w:r>
      <w:r w:rsidR="003135D4">
        <w:t>inancieras incluidas no impliquen comisiones o gastos que deberían</w:t>
      </w:r>
      <w:r>
        <w:t xml:space="preserve"> figurar en las financieras. </w:t>
      </w:r>
    </w:p>
    <w:p w:rsidR="003135D4" w:rsidRDefault="00CD4BE9" w:rsidP="00340859">
      <w:pPr>
        <w:jc w:val="both"/>
      </w:pPr>
      <w:r>
        <w:t>En este sentido, el</w:t>
      </w:r>
      <w:r w:rsidR="00E034CC">
        <w:t xml:space="preserve"> Consejo General del Notariado ha creado el Órgano de Control de Cláusulas </w:t>
      </w:r>
      <w:r w:rsidR="00836984">
        <w:t xml:space="preserve">Abusivas </w:t>
      </w:r>
      <w:r w:rsidR="00E034CC">
        <w:t>(OCCA)</w:t>
      </w:r>
      <w:r w:rsidR="0039110E">
        <w:t xml:space="preserve"> para ayudar a los notarios en la identificación de las cláusulas declaradas abusivas en sentencia firme, ya que solo son los juece</w:t>
      </w:r>
      <w:r w:rsidR="003135D4">
        <w:t xml:space="preserve">s los que tienen esa potestad. </w:t>
      </w:r>
    </w:p>
    <w:p w:rsidR="00041C09" w:rsidRPr="00D657EA" w:rsidRDefault="003135D4" w:rsidP="00D657EA">
      <w:pPr>
        <w:jc w:val="both"/>
      </w:pPr>
      <w:r>
        <w:t xml:space="preserve">En el folleto se </w:t>
      </w:r>
      <w:r w:rsidR="00340859" w:rsidRPr="001E4FB0">
        <w:rPr>
          <w:sz w:val="21"/>
          <w:szCs w:val="21"/>
        </w:rPr>
        <w:t xml:space="preserve">aconseja </w:t>
      </w:r>
      <w:r w:rsidR="00340859" w:rsidRPr="001E4FB0">
        <w:t>a los ciudadanos que cuando sean citados en la notaría para firmar un préstamo hipotecario,</w:t>
      </w:r>
      <w:r>
        <w:rPr>
          <w:i/>
        </w:rPr>
        <w:t xml:space="preserve"> </w:t>
      </w:r>
      <w:r w:rsidR="00340859" w:rsidRPr="003135D4">
        <w:t>vayan dos o tres días antes a examinar el</w:t>
      </w:r>
      <w:r w:rsidR="00FF1187" w:rsidRPr="003135D4">
        <w:t xml:space="preserve"> contenido </w:t>
      </w:r>
      <w:r w:rsidR="00836984">
        <w:t xml:space="preserve">de la escritura pública </w:t>
      </w:r>
      <w:r w:rsidR="00FF1187" w:rsidRPr="003135D4">
        <w:t xml:space="preserve">y </w:t>
      </w:r>
      <w:r>
        <w:t xml:space="preserve">consulten con el notario sus dudas. </w:t>
      </w:r>
    </w:p>
    <w:p w:rsidR="00500DE4" w:rsidRDefault="00500DE4" w:rsidP="00500DE4">
      <w:pPr>
        <w:tabs>
          <w:tab w:val="left" w:pos="5529"/>
        </w:tabs>
        <w:spacing w:after="0" w:line="240" w:lineRule="auto"/>
        <w:rPr>
          <w:color w:val="000000" w:themeColor="text1"/>
        </w:rPr>
      </w:pPr>
    </w:p>
    <w:p w:rsidR="00500DE4" w:rsidRPr="00421096" w:rsidRDefault="00500DE4" w:rsidP="00500DE4">
      <w:pPr>
        <w:tabs>
          <w:tab w:val="left" w:pos="5529"/>
        </w:tabs>
        <w:spacing w:after="0" w:line="240" w:lineRule="auto"/>
        <w:rPr>
          <w:color w:val="000000" w:themeColor="text1"/>
        </w:rPr>
      </w:pPr>
      <w:r w:rsidRPr="00421096">
        <w:rPr>
          <w:color w:val="000000" w:themeColor="text1"/>
        </w:rPr>
        <w:t xml:space="preserve">Más información en: </w:t>
      </w:r>
      <w:hyperlink r:id="rId9" w:history="1">
        <w:r w:rsidRPr="00421096">
          <w:rPr>
            <w:rStyle w:val="Hipervnculo"/>
          </w:rPr>
          <w:t>https://www.youtube.com/watch?v=Bnj8gU03D7M</w:t>
        </w:r>
      </w:hyperlink>
      <w:r w:rsidRPr="00421096">
        <w:rPr>
          <w:color w:val="000000" w:themeColor="text1"/>
        </w:rPr>
        <w:t xml:space="preserve"> </w:t>
      </w:r>
      <w:r w:rsidRPr="00421096">
        <w:rPr>
          <w:rFonts w:eastAsia="Calibri" w:cs="Times New Roman"/>
          <w:color w:val="000000" w:themeColor="text1"/>
        </w:rPr>
        <w:t xml:space="preserve">(Se adjunta también </w:t>
      </w:r>
      <w:r w:rsidRPr="00421096">
        <w:rPr>
          <w:rFonts w:eastAsia="Calibri" w:cs="Times New Roman"/>
          <w:b/>
          <w:color w:val="000000" w:themeColor="text1"/>
        </w:rPr>
        <w:t>PDF del tríptico</w:t>
      </w:r>
      <w:r w:rsidRPr="00421096">
        <w:rPr>
          <w:rFonts w:eastAsia="Calibri" w:cs="Times New Roman"/>
          <w:color w:val="000000" w:themeColor="text1"/>
        </w:rPr>
        <w:t>)</w:t>
      </w:r>
    </w:p>
    <w:p w:rsidR="00500DE4" w:rsidRDefault="00500DE4" w:rsidP="00500DE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00DE4" w:rsidRPr="00421096" w:rsidRDefault="00500DE4" w:rsidP="00500DE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eastAsia="Calibri" w:cs="Times New Roman"/>
          <w:sz w:val="20"/>
          <w:szCs w:val="20"/>
        </w:rPr>
      </w:pPr>
      <w:r w:rsidRPr="00421096">
        <w:rPr>
          <w:rFonts w:eastAsia="Calibri" w:cs="Times New Roman"/>
          <w:sz w:val="20"/>
          <w:szCs w:val="20"/>
        </w:rPr>
        <w:t xml:space="preserve">Para más información: </w:t>
      </w:r>
      <w:hyperlink r:id="rId10" w:history="1">
        <w:r w:rsidRPr="00421096">
          <w:rPr>
            <w:rStyle w:val="Hipervnculo"/>
            <w:rFonts w:eastAsia="Calibri" w:cs="Times New Roman"/>
            <w:sz w:val="20"/>
            <w:szCs w:val="20"/>
          </w:rPr>
          <w:t>www.notariado.org</w:t>
        </w:r>
      </w:hyperlink>
      <w:r w:rsidRPr="00421096">
        <w:rPr>
          <w:rFonts w:eastAsia="Calibri" w:cs="Times New Roman"/>
          <w:sz w:val="20"/>
          <w:szCs w:val="20"/>
        </w:rPr>
        <w:tab/>
      </w:r>
      <w:r w:rsidRPr="00421096">
        <w:rPr>
          <w:rFonts w:eastAsia="Calibri" w:cs="Times New Roman"/>
          <w:sz w:val="20"/>
          <w:szCs w:val="20"/>
        </w:rPr>
        <w:tab/>
      </w:r>
    </w:p>
    <w:p w:rsidR="00500DE4" w:rsidRPr="00421096" w:rsidRDefault="00500DE4" w:rsidP="00500DE4">
      <w:pPr>
        <w:tabs>
          <w:tab w:val="left" w:pos="5529"/>
        </w:tabs>
        <w:spacing w:after="0" w:line="240" w:lineRule="auto"/>
        <w:rPr>
          <w:rFonts w:eastAsia="Calibri" w:cs="Times New Roman"/>
          <w:sz w:val="20"/>
          <w:szCs w:val="20"/>
        </w:rPr>
      </w:pPr>
      <w:r w:rsidRPr="00421096">
        <w:rPr>
          <w:rFonts w:eastAsia="Calibri" w:cs="Times New Roman"/>
          <w:b/>
          <w:sz w:val="20"/>
          <w:szCs w:val="20"/>
        </w:rPr>
        <w:t xml:space="preserve">Itziar García </w:t>
      </w:r>
      <w:r w:rsidRPr="00421096">
        <w:rPr>
          <w:rFonts w:eastAsia="Calibri" w:cs="Times New Roman"/>
          <w:sz w:val="20"/>
          <w:szCs w:val="20"/>
        </w:rPr>
        <w:t xml:space="preserve">/ 91.384.67.21 / </w:t>
      </w:r>
      <w:r w:rsidRPr="00421096">
        <w:rPr>
          <w:rFonts w:eastAsia="Calibri" w:cs="Times New Roman"/>
          <w:color w:val="0000FF" w:themeColor="hyperlink"/>
          <w:sz w:val="20"/>
          <w:szCs w:val="20"/>
          <w:u w:val="single"/>
        </w:rPr>
        <w:t>Itziar.garcia@bm.com</w:t>
      </w:r>
      <w:r w:rsidRPr="00421096">
        <w:rPr>
          <w:rFonts w:eastAsia="Calibri" w:cs="Times New Roman"/>
          <w:sz w:val="20"/>
          <w:szCs w:val="20"/>
        </w:rPr>
        <w:tab/>
      </w:r>
    </w:p>
    <w:p w:rsidR="00C73E88" w:rsidRPr="003A0CA4" w:rsidRDefault="00C73E88" w:rsidP="00500DE4">
      <w:pPr>
        <w:tabs>
          <w:tab w:val="left" w:pos="5529"/>
        </w:tabs>
        <w:spacing w:after="0" w:line="240" w:lineRule="auto"/>
        <w:rPr>
          <w:rFonts w:ascii="Cambria" w:hAnsi="Cambria"/>
          <w:color w:val="C00000"/>
          <w:sz w:val="20"/>
          <w:szCs w:val="20"/>
        </w:rPr>
      </w:pPr>
      <w:r w:rsidRPr="003A0CA4">
        <w:rPr>
          <w:rFonts w:ascii="Cambria" w:hAnsi="Cambria"/>
          <w:color w:val="C00000"/>
          <w:sz w:val="20"/>
          <w:szCs w:val="20"/>
        </w:rPr>
        <w:tab/>
      </w:r>
    </w:p>
    <w:sectPr w:rsidR="00C73E88" w:rsidRPr="003A0CA4" w:rsidSect="00205329">
      <w:footerReference w:type="default" r:id="rId11"/>
      <w:pgSz w:w="11906" w:h="16838"/>
      <w:pgMar w:top="956" w:right="1701" w:bottom="1417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2C" w:rsidRDefault="009F2E2C" w:rsidP="00A921BD">
      <w:pPr>
        <w:spacing w:after="0" w:line="240" w:lineRule="auto"/>
      </w:pPr>
      <w:r>
        <w:separator/>
      </w:r>
    </w:p>
  </w:endnote>
  <w:endnote w:type="continuationSeparator" w:id="0">
    <w:p w:rsidR="009F2E2C" w:rsidRDefault="009F2E2C" w:rsidP="00A9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1F" w:rsidRDefault="003E72E6">
    <w:pPr>
      <w:pStyle w:val="Piedepgina"/>
    </w:pPr>
    <w:r>
      <w:rPr>
        <w:i/>
        <w:noProof/>
        <w:color w:val="1F497D" w:themeColor="text2"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-380366</wp:posOffset>
              </wp:positionV>
              <wp:extent cx="5919470" cy="0"/>
              <wp:effectExtent l="0" t="0" r="24130" b="19050"/>
              <wp:wrapNone/>
              <wp:docPr id="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9.75pt;margin-top:-29.95pt;width:466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" strokecolor="#365f91 [2404]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2C" w:rsidRDefault="009F2E2C" w:rsidP="00A921BD">
      <w:pPr>
        <w:spacing w:after="0" w:line="240" w:lineRule="auto"/>
      </w:pPr>
      <w:r>
        <w:separator/>
      </w:r>
    </w:p>
  </w:footnote>
  <w:footnote w:type="continuationSeparator" w:id="0">
    <w:p w:rsidR="009F2E2C" w:rsidRDefault="009F2E2C" w:rsidP="00A9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573"/>
    <w:multiLevelType w:val="hybridMultilevel"/>
    <w:tmpl w:val="9A02B158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046"/>
    <w:multiLevelType w:val="hybridMultilevel"/>
    <w:tmpl w:val="9E440E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1F7A"/>
    <w:multiLevelType w:val="hybridMultilevel"/>
    <w:tmpl w:val="72FC936E"/>
    <w:lvl w:ilvl="0" w:tplc="CF66F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0664"/>
    <w:multiLevelType w:val="hybridMultilevel"/>
    <w:tmpl w:val="C52CB760"/>
    <w:lvl w:ilvl="0" w:tplc="CF66F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768E"/>
    <w:multiLevelType w:val="hybridMultilevel"/>
    <w:tmpl w:val="103A07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02FF"/>
    <w:multiLevelType w:val="hybridMultilevel"/>
    <w:tmpl w:val="58E606BA"/>
    <w:lvl w:ilvl="0" w:tplc="E7182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9"/>
    <w:rsid w:val="00000DF1"/>
    <w:rsid w:val="000068D2"/>
    <w:rsid w:val="0000751B"/>
    <w:rsid w:val="000112EB"/>
    <w:rsid w:val="0001223B"/>
    <w:rsid w:val="000172C0"/>
    <w:rsid w:val="0003638F"/>
    <w:rsid w:val="000368AC"/>
    <w:rsid w:val="00041C09"/>
    <w:rsid w:val="00042AC7"/>
    <w:rsid w:val="00045B66"/>
    <w:rsid w:val="000470FA"/>
    <w:rsid w:val="000560E1"/>
    <w:rsid w:val="00056C01"/>
    <w:rsid w:val="00062692"/>
    <w:rsid w:val="00071534"/>
    <w:rsid w:val="000721DE"/>
    <w:rsid w:val="000A60A5"/>
    <w:rsid w:val="000B0445"/>
    <w:rsid w:val="000B3747"/>
    <w:rsid w:val="000C366B"/>
    <w:rsid w:val="000C3C6B"/>
    <w:rsid w:val="000E3E2A"/>
    <w:rsid w:val="000E3F8C"/>
    <w:rsid w:val="000E45B5"/>
    <w:rsid w:val="000F23E8"/>
    <w:rsid w:val="000F2FD2"/>
    <w:rsid w:val="00105298"/>
    <w:rsid w:val="00106232"/>
    <w:rsid w:val="00121DCC"/>
    <w:rsid w:val="0012603D"/>
    <w:rsid w:val="00126293"/>
    <w:rsid w:val="001340CC"/>
    <w:rsid w:val="00142810"/>
    <w:rsid w:val="00147774"/>
    <w:rsid w:val="0015216C"/>
    <w:rsid w:val="00170316"/>
    <w:rsid w:val="00177B9A"/>
    <w:rsid w:val="001830EC"/>
    <w:rsid w:val="001C2F7A"/>
    <w:rsid w:val="001D0C74"/>
    <w:rsid w:val="001D7DD7"/>
    <w:rsid w:val="001E4FB0"/>
    <w:rsid w:val="001E6F85"/>
    <w:rsid w:val="001F2E5C"/>
    <w:rsid w:val="001F39AF"/>
    <w:rsid w:val="00205329"/>
    <w:rsid w:val="00211A64"/>
    <w:rsid w:val="00226F09"/>
    <w:rsid w:val="00231835"/>
    <w:rsid w:val="002416F8"/>
    <w:rsid w:val="0025427A"/>
    <w:rsid w:val="00272B85"/>
    <w:rsid w:val="0028016A"/>
    <w:rsid w:val="00294C4C"/>
    <w:rsid w:val="002B0BF9"/>
    <w:rsid w:val="002C3523"/>
    <w:rsid w:val="002C41BD"/>
    <w:rsid w:val="002C43D0"/>
    <w:rsid w:val="002D4221"/>
    <w:rsid w:val="002D47F9"/>
    <w:rsid w:val="002D5958"/>
    <w:rsid w:val="002E03DF"/>
    <w:rsid w:val="002E1B7E"/>
    <w:rsid w:val="00307EDD"/>
    <w:rsid w:val="0031091D"/>
    <w:rsid w:val="003135D4"/>
    <w:rsid w:val="0032449B"/>
    <w:rsid w:val="003244C9"/>
    <w:rsid w:val="0033140B"/>
    <w:rsid w:val="0033424A"/>
    <w:rsid w:val="00335128"/>
    <w:rsid w:val="00340859"/>
    <w:rsid w:val="00344735"/>
    <w:rsid w:val="00347FEA"/>
    <w:rsid w:val="00355CFB"/>
    <w:rsid w:val="0036620D"/>
    <w:rsid w:val="0037223A"/>
    <w:rsid w:val="003749B1"/>
    <w:rsid w:val="00374A25"/>
    <w:rsid w:val="00375FBE"/>
    <w:rsid w:val="003779E2"/>
    <w:rsid w:val="00383F1F"/>
    <w:rsid w:val="00384551"/>
    <w:rsid w:val="0038626B"/>
    <w:rsid w:val="00386D18"/>
    <w:rsid w:val="0039110E"/>
    <w:rsid w:val="003925D3"/>
    <w:rsid w:val="00392800"/>
    <w:rsid w:val="003A0CA4"/>
    <w:rsid w:val="003A349C"/>
    <w:rsid w:val="003A5BAE"/>
    <w:rsid w:val="003B0E97"/>
    <w:rsid w:val="003C0A15"/>
    <w:rsid w:val="003C6406"/>
    <w:rsid w:val="003C712B"/>
    <w:rsid w:val="003C7419"/>
    <w:rsid w:val="003E1EF8"/>
    <w:rsid w:val="003E5293"/>
    <w:rsid w:val="003E5833"/>
    <w:rsid w:val="003E5FDC"/>
    <w:rsid w:val="003E607A"/>
    <w:rsid w:val="003E72E6"/>
    <w:rsid w:val="00411F7E"/>
    <w:rsid w:val="0042642D"/>
    <w:rsid w:val="00432728"/>
    <w:rsid w:val="00434F1E"/>
    <w:rsid w:val="00441A03"/>
    <w:rsid w:val="00443CAD"/>
    <w:rsid w:val="004559F6"/>
    <w:rsid w:val="0046212B"/>
    <w:rsid w:val="00475EE1"/>
    <w:rsid w:val="004846A3"/>
    <w:rsid w:val="0048470F"/>
    <w:rsid w:val="00493E4B"/>
    <w:rsid w:val="004947FF"/>
    <w:rsid w:val="004963FF"/>
    <w:rsid w:val="004A5A77"/>
    <w:rsid w:val="004A689C"/>
    <w:rsid w:val="004B0E81"/>
    <w:rsid w:val="004C54F5"/>
    <w:rsid w:val="004C60B9"/>
    <w:rsid w:val="004D1A51"/>
    <w:rsid w:val="004D42FA"/>
    <w:rsid w:val="004E6503"/>
    <w:rsid w:val="004F7CA9"/>
    <w:rsid w:val="00500DE4"/>
    <w:rsid w:val="005069A8"/>
    <w:rsid w:val="00512F14"/>
    <w:rsid w:val="00516BC1"/>
    <w:rsid w:val="0052004A"/>
    <w:rsid w:val="00521BEA"/>
    <w:rsid w:val="005228D2"/>
    <w:rsid w:val="005240F8"/>
    <w:rsid w:val="005403CF"/>
    <w:rsid w:val="00540DF6"/>
    <w:rsid w:val="00545E87"/>
    <w:rsid w:val="00557290"/>
    <w:rsid w:val="005622A7"/>
    <w:rsid w:val="00564816"/>
    <w:rsid w:val="0057086A"/>
    <w:rsid w:val="005711B9"/>
    <w:rsid w:val="00581F2A"/>
    <w:rsid w:val="0059501B"/>
    <w:rsid w:val="005A560C"/>
    <w:rsid w:val="005B1DA2"/>
    <w:rsid w:val="005D7166"/>
    <w:rsid w:val="00607221"/>
    <w:rsid w:val="00611679"/>
    <w:rsid w:val="006315FA"/>
    <w:rsid w:val="006461E1"/>
    <w:rsid w:val="00646296"/>
    <w:rsid w:val="00651BAD"/>
    <w:rsid w:val="0065448E"/>
    <w:rsid w:val="00670EB5"/>
    <w:rsid w:val="00671FF7"/>
    <w:rsid w:val="00672C60"/>
    <w:rsid w:val="006814BB"/>
    <w:rsid w:val="00684684"/>
    <w:rsid w:val="006C1C18"/>
    <w:rsid w:val="006F11B4"/>
    <w:rsid w:val="006F7D10"/>
    <w:rsid w:val="00703D43"/>
    <w:rsid w:val="007125F1"/>
    <w:rsid w:val="0072462B"/>
    <w:rsid w:val="00726D85"/>
    <w:rsid w:val="00752D6B"/>
    <w:rsid w:val="00755F1F"/>
    <w:rsid w:val="007577EE"/>
    <w:rsid w:val="00782CAF"/>
    <w:rsid w:val="007851B1"/>
    <w:rsid w:val="0079230D"/>
    <w:rsid w:val="00793035"/>
    <w:rsid w:val="007A0CD9"/>
    <w:rsid w:val="007A28DD"/>
    <w:rsid w:val="007A32BC"/>
    <w:rsid w:val="007A502D"/>
    <w:rsid w:val="007B587A"/>
    <w:rsid w:val="007C0791"/>
    <w:rsid w:val="007C780B"/>
    <w:rsid w:val="007D088F"/>
    <w:rsid w:val="007E281B"/>
    <w:rsid w:val="007E3AD2"/>
    <w:rsid w:val="007F44F6"/>
    <w:rsid w:val="00800F81"/>
    <w:rsid w:val="00803942"/>
    <w:rsid w:val="00811F6D"/>
    <w:rsid w:val="00812D5D"/>
    <w:rsid w:val="008130C9"/>
    <w:rsid w:val="00817338"/>
    <w:rsid w:val="00821D30"/>
    <w:rsid w:val="00826C62"/>
    <w:rsid w:val="00834118"/>
    <w:rsid w:val="00836984"/>
    <w:rsid w:val="0084719D"/>
    <w:rsid w:val="00853A78"/>
    <w:rsid w:val="00857472"/>
    <w:rsid w:val="00860E3E"/>
    <w:rsid w:val="00870F9A"/>
    <w:rsid w:val="00872540"/>
    <w:rsid w:val="0087255B"/>
    <w:rsid w:val="00876E2C"/>
    <w:rsid w:val="0088777B"/>
    <w:rsid w:val="0089124F"/>
    <w:rsid w:val="00894C1A"/>
    <w:rsid w:val="008A0976"/>
    <w:rsid w:val="008A0C32"/>
    <w:rsid w:val="008A6170"/>
    <w:rsid w:val="008C2BA2"/>
    <w:rsid w:val="008D4574"/>
    <w:rsid w:val="008D7681"/>
    <w:rsid w:val="008E15DA"/>
    <w:rsid w:val="008E417E"/>
    <w:rsid w:val="008E4321"/>
    <w:rsid w:val="008F3740"/>
    <w:rsid w:val="008F44EB"/>
    <w:rsid w:val="008F594D"/>
    <w:rsid w:val="009079B8"/>
    <w:rsid w:val="00916D8B"/>
    <w:rsid w:val="009237AE"/>
    <w:rsid w:val="0092565E"/>
    <w:rsid w:val="00935576"/>
    <w:rsid w:val="00936258"/>
    <w:rsid w:val="00942FB7"/>
    <w:rsid w:val="00944446"/>
    <w:rsid w:val="00944813"/>
    <w:rsid w:val="00945E91"/>
    <w:rsid w:val="009470E1"/>
    <w:rsid w:val="00947C36"/>
    <w:rsid w:val="00950C86"/>
    <w:rsid w:val="00970B1B"/>
    <w:rsid w:val="00971E6A"/>
    <w:rsid w:val="00974265"/>
    <w:rsid w:val="009758C2"/>
    <w:rsid w:val="00975F80"/>
    <w:rsid w:val="00984672"/>
    <w:rsid w:val="00992487"/>
    <w:rsid w:val="00995B05"/>
    <w:rsid w:val="009A53BA"/>
    <w:rsid w:val="009A74C4"/>
    <w:rsid w:val="009B45A1"/>
    <w:rsid w:val="009E6135"/>
    <w:rsid w:val="009F2E2C"/>
    <w:rsid w:val="009F3034"/>
    <w:rsid w:val="009F3253"/>
    <w:rsid w:val="00A0284C"/>
    <w:rsid w:val="00A02CE1"/>
    <w:rsid w:val="00A33E23"/>
    <w:rsid w:val="00A45290"/>
    <w:rsid w:val="00A5770D"/>
    <w:rsid w:val="00A627F5"/>
    <w:rsid w:val="00A6633A"/>
    <w:rsid w:val="00A73EA9"/>
    <w:rsid w:val="00A7513D"/>
    <w:rsid w:val="00A77D52"/>
    <w:rsid w:val="00A921BD"/>
    <w:rsid w:val="00A95490"/>
    <w:rsid w:val="00A96EAC"/>
    <w:rsid w:val="00AB43D8"/>
    <w:rsid w:val="00AB49C5"/>
    <w:rsid w:val="00AC072B"/>
    <w:rsid w:val="00AC3CCB"/>
    <w:rsid w:val="00AC7925"/>
    <w:rsid w:val="00AE3E2E"/>
    <w:rsid w:val="00AF7695"/>
    <w:rsid w:val="00B055AE"/>
    <w:rsid w:val="00B101FB"/>
    <w:rsid w:val="00B127E4"/>
    <w:rsid w:val="00B34066"/>
    <w:rsid w:val="00B40B79"/>
    <w:rsid w:val="00B437A2"/>
    <w:rsid w:val="00B503E9"/>
    <w:rsid w:val="00B57025"/>
    <w:rsid w:val="00B652F9"/>
    <w:rsid w:val="00B717C5"/>
    <w:rsid w:val="00B75D24"/>
    <w:rsid w:val="00B80321"/>
    <w:rsid w:val="00B866C9"/>
    <w:rsid w:val="00B968E3"/>
    <w:rsid w:val="00BA5F17"/>
    <w:rsid w:val="00BA64CD"/>
    <w:rsid w:val="00BB2550"/>
    <w:rsid w:val="00BC02DF"/>
    <w:rsid w:val="00BC3904"/>
    <w:rsid w:val="00BD5067"/>
    <w:rsid w:val="00BE0C5A"/>
    <w:rsid w:val="00BE4132"/>
    <w:rsid w:val="00BE77CB"/>
    <w:rsid w:val="00C00194"/>
    <w:rsid w:val="00C24904"/>
    <w:rsid w:val="00C27535"/>
    <w:rsid w:val="00C30DFC"/>
    <w:rsid w:val="00C40F30"/>
    <w:rsid w:val="00C472AC"/>
    <w:rsid w:val="00C5028E"/>
    <w:rsid w:val="00C53444"/>
    <w:rsid w:val="00C54EBE"/>
    <w:rsid w:val="00C5694B"/>
    <w:rsid w:val="00C57656"/>
    <w:rsid w:val="00C57B26"/>
    <w:rsid w:val="00C66C2A"/>
    <w:rsid w:val="00C72E01"/>
    <w:rsid w:val="00C73E88"/>
    <w:rsid w:val="00C76733"/>
    <w:rsid w:val="00C87537"/>
    <w:rsid w:val="00C9163E"/>
    <w:rsid w:val="00C955CA"/>
    <w:rsid w:val="00CA59F2"/>
    <w:rsid w:val="00CB1106"/>
    <w:rsid w:val="00CB473C"/>
    <w:rsid w:val="00CD1A6C"/>
    <w:rsid w:val="00CD27D7"/>
    <w:rsid w:val="00CD4BE9"/>
    <w:rsid w:val="00CD5722"/>
    <w:rsid w:val="00CE7F42"/>
    <w:rsid w:val="00D01DFA"/>
    <w:rsid w:val="00D04EB4"/>
    <w:rsid w:val="00D06974"/>
    <w:rsid w:val="00D22B73"/>
    <w:rsid w:val="00D35F75"/>
    <w:rsid w:val="00D436A5"/>
    <w:rsid w:val="00D44541"/>
    <w:rsid w:val="00D468BD"/>
    <w:rsid w:val="00D5084B"/>
    <w:rsid w:val="00D57E56"/>
    <w:rsid w:val="00D657EA"/>
    <w:rsid w:val="00D7776D"/>
    <w:rsid w:val="00D84412"/>
    <w:rsid w:val="00D85F93"/>
    <w:rsid w:val="00D91329"/>
    <w:rsid w:val="00D951F1"/>
    <w:rsid w:val="00DB0E1F"/>
    <w:rsid w:val="00DB2B06"/>
    <w:rsid w:val="00DB3182"/>
    <w:rsid w:val="00DD4D9A"/>
    <w:rsid w:val="00DD77BF"/>
    <w:rsid w:val="00DE314A"/>
    <w:rsid w:val="00DE3328"/>
    <w:rsid w:val="00DE421E"/>
    <w:rsid w:val="00E034CC"/>
    <w:rsid w:val="00E23205"/>
    <w:rsid w:val="00E27812"/>
    <w:rsid w:val="00E350A5"/>
    <w:rsid w:val="00E51149"/>
    <w:rsid w:val="00E56882"/>
    <w:rsid w:val="00E73B56"/>
    <w:rsid w:val="00E77C11"/>
    <w:rsid w:val="00E8090B"/>
    <w:rsid w:val="00E936DB"/>
    <w:rsid w:val="00EA7298"/>
    <w:rsid w:val="00EC2E15"/>
    <w:rsid w:val="00EC43FF"/>
    <w:rsid w:val="00EC4AFC"/>
    <w:rsid w:val="00EC6A2B"/>
    <w:rsid w:val="00ED0A71"/>
    <w:rsid w:val="00EE6D67"/>
    <w:rsid w:val="00F24601"/>
    <w:rsid w:val="00F26F13"/>
    <w:rsid w:val="00F306B1"/>
    <w:rsid w:val="00F32CEC"/>
    <w:rsid w:val="00F34BC5"/>
    <w:rsid w:val="00F60A58"/>
    <w:rsid w:val="00F62F83"/>
    <w:rsid w:val="00F73910"/>
    <w:rsid w:val="00F7723D"/>
    <w:rsid w:val="00F8436F"/>
    <w:rsid w:val="00F94A39"/>
    <w:rsid w:val="00FA437B"/>
    <w:rsid w:val="00FA6B50"/>
    <w:rsid w:val="00FA7473"/>
    <w:rsid w:val="00FB2577"/>
    <w:rsid w:val="00FB411F"/>
    <w:rsid w:val="00FB4C4F"/>
    <w:rsid w:val="00FC323E"/>
    <w:rsid w:val="00FC4794"/>
    <w:rsid w:val="00FD1341"/>
    <w:rsid w:val="00FD3E85"/>
    <w:rsid w:val="00FF1187"/>
    <w:rsid w:val="00FF13D5"/>
    <w:rsid w:val="00FF3A8E"/>
    <w:rsid w:val="00FF3FA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64807E-D6ED-4C15-9A15-D8A1557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1BD"/>
  </w:style>
  <w:style w:type="paragraph" w:styleId="Piedepgina">
    <w:name w:val="footer"/>
    <w:basedOn w:val="Normal"/>
    <w:link w:val="PiedepginaCar"/>
    <w:uiPriority w:val="99"/>
    <w:unhideWhenUsed/>
    <w:rsid w:val="00A9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BD"/>
  </w:style>
  <w:style w:type="paragraph" w:styleId="Textodeglobo">
    <w:name w:val="Balloon Text"/>
    <w:basedOn w:val="Normal"/>
    <w:link w:val="TextodegloboCar"/>
    <w:uiPriority w:val="99"/>
    <w:semiHidden/>
    <w:unhideWhenUsed/>
    <w:rsid w:val="00A9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1A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32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383F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4A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34B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Fuentedeprrafopredeter"/>
    <w:rsid w:val="0065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0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iad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nj8gU03D7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8554-7EE1-48D1-A7E2-FF1F5E7F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Y&amp;R Brands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Palomero, Marta</dc:creator>
  <cp:lastModifiedBy>Garcia, Itziar</cp:lastModifiedBy>
  <cp:revision>2</cp:revision>
  <cp:lastPrinted>2014-02-21T10:27:00Z</cp:lastPrinted>
  <dcterms:created xsi:type="dcterms:W3CDTF">2016-04-05T08:31:00Z</dcterms:created>
  <dcterms:modified xsi:type="dcterms:W3CDTF">2016-04-05T08:31:00Z</dcterms:modified>
</cp:coreProperties>
</file>